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B4" w:rsidRPr="004B261E" w:rsidRDefault="00DF14B4" w:rsidP="0006755A">
      <w:pPr>
        <w:pStyle w:val="a5"/>
        <w:spacing w:beforeLines="50" w:beforeAutospacing="0" w:afterLines="50" w:afterAutospacing="0"/>
        <w:ind w:firstLine="480"/>
        <w:jc w:val="center"/>
        <w:divId w:val="492529424"/>
        <w:rPr>
          <w:rFonts w:ascii="黑体" w:eastAsia="黑体" w:hAnsi="黑体"/>
          <w:b/>
          <w:spacing w:val="6"/>
          <w:sz w:val="32"/>
          <w:szCs w:val="32"/>
          <w:shd w:val="clear" w:color="auto" w:fill="FFFFFF"/>
        </w:rPr>
      </w:pPr>
      <w:r w:rsidRPr="004B261E">
        <w:rPr>
          <w:rFonts w:ascii="黑体" w:eastAsia="黑体" w:hAnsi="黑体" w:hint="eastAsia"/>
          <w:b/>
          <w:spacing w:val="6"/>
          <w:sz w:val="32"/>
          <w:szCs w:val="32"/>
          <w:shd w:val="clear" w:color="auto" w:fill="FFFFFF"/>
        </w:rPr>
        <w:t>个人所得税纳税申报表填表指引</w:t>
      </w:r>
    </w:p>
    <w:p w:rsidR="00DF14B4" w:rsidRDefault="00DF14B4" w:rsidP="0006755A">
      <w:pPr>
        <w:pStyle w:val="a5"/>
        <w:spacing w:beforeLines="50" w:beforeAutospacing="0" w:afterLines="50" w:afterAutospacing="0"/>
        <w:ind w:firstLine="480"/>
        <w:divId w:val="492529424"/>
        <w:rPr>
          <w:sz w:val="26"/>
          <w:szCs w:val="26"/>
        </w:rPr>
      </w:pPr>
      <w:r>
        <w:rPr>
          <w:rStyle w:val="a6"/>
          <w:rFonts w:ascii="微软雅黑" w:eastAsia="微软雅黑" w:hAnsi="微软雅黑" w:cs="宋体"/>
          <w:color w:val="D92142"/>
          <w:sz w:val="26"/>
          <w:szCs w:val="26"/>
        </w:rPr>
        <w:t>2016</w:t>
      </w:r>
      <w:r>
        <w:rPr>
          <w:rStyle w:val="a6"/>
          <w:rFonts w:ascii="微软雅黑" w:eastAsia="微软雅黑" w:hAnsi="微软雅黑" w:cs="宋体" w:hint="eastAsia"/>
          <w:color w:val="D92142"/>
          <w:sz w:val="26"/>
          <w:szCs w:val="26"/>
        </w:rPr>
        <w:t>年度的</w:t>
      </w:r>
      <w:r>
        <w:rPr>
          <w:rStyle w:val="a6"/>
          <w:rFonts w:ascii="微软雅黑" w:eastAsia="微软雅黑" w:hAnsi="微软雅黑" w:cs="宋体"/>
          <w:color w:val="D92142"/>
          <w:sz w:val="26"/>
          <w:szCs w:val="26"/>
        </w:rPr>
        <w:t>12</w:t>
      </w:r>
      <w:r>
        <w:rPr>
          <w:rStyle w:val="a6"/>
          <w:rFonts w:ascii="微软雅黑" w:eastAsia="微软雅黑" w:hAnsi="微软雅黑" w:cs="宋体" w:hint="eastAsia"/>
          <w:color w:val="D92142"/>
          <w:sz w:val="26"/>
          <w:szCs w:val="26"/>
        </w:rPr>
        <w:t>万申报到</w:t>
      </w:r>
      <w:r>
        <w:rPr>
          <w:rStyle w:val="a6"/>
          <w:rFonts w:ascii="微软雅黑" w:eastAsia="微软雅黑" w:hAnsi="微软雅黑" w:cs="宋体"/>
          <w:color w:val="D92142"/>
          <w:sz w:val="26"/>
          <w:szCs w:val="26"/>
        </w:rPr>
        <w:t>2017</w:t>
      </w:r>
      <w:r>
        <w:rPr>
          <w:rStyle w:val="a6"/>
          <w:rFonts w:ascii="微软雅黑" w:eastAsia="微软雅黑" w:hAnsi="微软雅黑" w:cs="宋体" w:hint="eastAsia"/>
          <w:color w:val="D92142"/>
          <w:sz w:val="26"/>
          <w:szCs w:val="26"/>
        </w:rPr>
        <w:t>年</w:t>
      </w:r>
      <w:r>
        <w:rPr>
          <w:rStyle w:val="a6"/>
          <w:rFonts w:ascii="微软雅黑" w:eastAsia="微软雅黑" w:hAnsi="微软雅黑" w:cs="宋体"/>
          <w:color w:val="D92142"/>
          <w:sz w:val="26"/>
          <w:szCs w:val="26"/>
        </w:rPr>
        <w:t>3</w:t>
      </w:r>
      <w:r>
        <w:rPr>
          <w:rStyle w:val="a6"/>
          <w:rFonts w:ascii="微软雅黑" w:eastAsia="微软雅黑" w:hAnsi="微软雅黑" w:cs="宋体" w:hint="eastAsia"/>
          <w:color w:val="D92142"/>
          <w:sz w:val="26"/>
          <w:szCs w:val="26"/>
        </w:rPr>
        <w:t>月</w:t>
      </w:r>
      <w:r>
        <w:rPr>
          <w:rStyle w:val="a6"/>
          <w:rFonts w:ascii="微软雅黑" w:eastAsia="微软雅黑" w:hAnsi="微软雅黑" w:cs="宋体"/>
          <w:color w:val="D92142"/>
          <w:sz w:val="26"/>
          <w:szCs w:val="26"/>
        </w:rPr>
        <w:t>31</w:t>
      </w:r>
      <w:r>
        <w:rPr>
          <w:rStyle w:val="a6"/>
          <w:rFonts w:ascii="微软雅黑" w:eastAsia="微软雅黑" w:hAnsi="微软雅黑" w:cs="宋体" w:hint="eastAsia"/>
          <w:color w:val="D92142"/>
          <w:sz w:val="26"/>
          <w:szCs w:val="26"/>
        </w:rPr>
        <w:t>日截止。</w:t>
      </w:r>
      <w:r>
        <w:rPr>
          <w:rFonts w:ascii="微软雅黑" w:eastAsia="微软雅黑" w:hAnsi="微软雅黑" w:hint="eastAsia"/>
          <w:sz w:val="26"/>
          <w:szCs w:val="26"/>
        </w:rPr>
        <w:t>纳税人可以通过网站和实体办税大厅申报。</w:t>
      </w:r>
      <w:r>
        <w:rPr>
          <w:sz w:val="26"/>
          <w:szCs w:val="26"/>
        </w:rPr>
        <w:t xml:space="preserve"> </w:t>
      </w:r>
    </w:p>
    <w:p w:rsidR="00DF14B4" w:rsidRDefault="00DF14B4" w:rsidP="0006755A">
      <w:pPr>
        <w:spacing w:beforeLines="50" w:afterLines="50"/>
        <w:divId w:val="492529424"/>
        <w:rPr>
          <w:sz w:val="26"/>
          <w:szCs w:val="26"/>
        </w:rPr>
      </w:pPr>
      <w:r>
        <w:rPr>
          <w:rStyle w:val="a6"/>
          <w:rFonts w:ascii="微软雅黑" w:eastAsia="微软雅黑" w:hAnsi="微软雅黑" w:cs="宋体" w:hint="eastAsia"/>
          <w:color w:val="FFFFFF"/>
          <w:sz w:val="27"/>
          <w:szCs w:val="27"/>
          <w:shd w:val="clear" w:color="auto" w:fill="00589C"/>
        </w:rPr>
        <w:t>注意事项</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hint="eastAsia"/>
        </w:rPr>
        <w:t>年所得</w:t>
      </w:r>
      <w:r>
        <w:rPr>
          <w:rFonts w:ascii="微软雅黑" w:eastAsia="微软雅黑" w:hAnsi="微软雅黑"/>
        </w:rPr>
        <w:t>12</w:t>
      </w:r>
      <w:r>
        <w:rPr>
          <w:rFonts w:ascii="微软雅黑" w:eastAsia="微软雅黑" w:hAnsi="微软雅黑" w:hint="eastAsia"/>
        </w:rPr>
        <w:t>万元以上的纳税人，无论取得的各项所得是否已足额缴纳了个人所得税，均应当按照本办法的规定，于纳税年度终了后向主管税务机关办理纳税申报。</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hint="eastAsia"/>
        </w:rPr>
        <w:t>年所得</w:t>
      </w:r>
      <w:r>
        <w:rPr>
          <w:rFonts w:ascii="微软雅黑" w:eastAsia="微软雅黑" w:hAnsi="微软雅黑"/>
        </w:rPr>
        <w:t>12</w:t>
      </w:r>
      <w:r>
        <w:rPr>
          <w:rFonts w:ascii="微软雅黑" w:eastAsia="微软雅黑" w:hAnsi="微软雅黑" w:hint="eastAsia"/>
        </w:rPr>
        <w:t>万元以上的纳税人，不包括在中国境内无住所，且在一个纳税年度中在中国境内居住不满</w:t>
      </w:r>
      <w:r>
        <w:rPr>
          <w:rFonts w:ascii="微软雅黑" w:eastAsia="微软雅黑" w:hAnsi="微软雅黑"/>
        </w:rPr>
        <w:t>1</w:t>
      </w:r>
      <w:r>
        <w:rPr>
          <w:rFonts w:ascii="微软雅黑" w:eastAsia="微软雅黑" w:hAnsi="微软雅黑" w:hint="eastAsia"/>
        </w:rPr>
        <w:t>年的个人。</w:t>
      </w:r>
      <w:r>
        <w:rPr>
          <w:sz w:val="26"/>
          <w:szCs w:val="26"/>
        </w:rPr>
        <w:t xml:space="preserve"> </w:t>
      </w:r>
    </w:p>
    <w:p w:rsidR="00DF14B4" w:rsidRDefault="00DF14B4" w:rsidP="0006755A">
      <w:pPr>
        <w:spacing w:beforeLines="50" w:afterLines="50"/>
        <w:divId w:val="492529424"/>
        <w:rPr>
          <w:sz w:val="26"/>
          <w:szCs w:val="26"/>
        </w:rPr>
      </w:pPr>
      <w:r>
        <w:rPr>
          <w:rStyle w:val="a6"/>
          <w:rFonts w:ascii="微软雅黑" w:eastAsia="微软雅黑" w:hAnsi="微软雅黑" w:cs="宋体" w:hint="eastAsia"/>
          <w:color w:val="FFFFFF"/>
          <w:sz w:val="27"/>
          <w:szCs w:val="27"/>
          <w:shd w:val="clear" w:color="auto" w:fill="00589C"/>
        </w:rPr>
        <w:t>政策依据</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hint="eastAsia"/>
        </w:rPr>
        <w:t>关于印发《个人所得税自行纳税申报办法（试行）》的通知（国税发〔</w:t>
      </w:r>
      <w:r>
        <w:rPr>
          <w:rFonts w:ascii="微软雅黑" w:eastAsia="微软雅黑" w:hAnsi="微软雅黑"/>
        </w:rPr>
        <w:t>2006</w:t>
      </w:r>
      <w:r>
        <w:rPr>
          <w:rFonts w:ascii="微软雅黑" w:eastAsia="微软雅黑" w:hAnsi="微软雅黑" w:hint="eastAsia"/>
        </w:rPr>
        <w:t>〕</w:t>
      </w:r>
      <w:r>
        <w:rPr>
          <w:rFonts w:ascii="微软雅黑" w:eastAsia="微软雅黑" w:hAnsi="微软雅黑"/>
        </w:rPr>
        <w:t>162</w:t>
      </w:r>
      <w:r>
        <w:rPr>
          <w:rFonts w:ascii="微软雅黑" w:eastAsia="微软雅黑" w:hAnsi="微软雅黑" w:hint="eastAsia"/>
        </w:rPr>
        <w:t>号）</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hint="eastAsia"/>
        </w:rPr>
        <w:t>《关于明确年所得</w:t>
      </w:r>
      <w:r>
        <w:rPr>
          <w:rFonts w:ascii="微软雅黑" w:eastAsia="微软雅黑" w:hAnsi="微软雅黑"/>
        </w:rPr>
        <w:t>12</w:t>
      </w:r>
      <w:r>
        <w:rPr>
          <w:rFonts w:ascii="微软雅黑" w:eastAsia="微软雅黑" w:hAnsi="微软雅黑" w:hint="eastAsia"/>
        </w:rPr>
        <w:t>万元以上自行纳税申报口径的通知》（国税函〔</w:t>
      </w:r>
      <w:r>
        <w:rPr>
          <w:rFonts w:ascii="微软雅黑" w:eastAsia="微软雅黑" w:hAnsi="微软雅黑"/>
        </w:rPr>
        <w:t>2006</w:t>
      </w:r>
      <w:r>
        <w:rPr>
          <w:rFonts w:ascii="微软雅黑" w:eastAsia="微软雅黑" w:hAnsi="微软雅黑" w:hint="eastAsia"/>
        </w:rPr>
        <w:t>〕</w:t>
      </w:r>
      <w:r>
        <w:rPr>
          <w:rFonts w:ascii="微软雅黑" w:eastAsia="微软雅黑" w:hAnsi="微软雅黑"/>
        </w:rPr>
        <w:t>1200</w:t>
      </w:r>
      <w:r>
        <w:rPr>
          <w:rFonts w:ascii="微软雅黑" w:eastAsia="微软雅黑" w:hAnsi="微软雅黑" w:hint="eastAsia"/>
        </w:rPr>
        <w:t>号）</w:t>
      </w:r>
      <w:r>
        <w:rPr>
          <w:sz w:val="26"/>
          <w:szCs w:val="26"/>
        </w:rPr>
        <w:t xml:space="preserve"> </w:t>
      </w:r>
    </w:p>
    <w:p w:rsidR="00DF14B4" w:rsidRDefault="00DF14B4" w:rsidP="0006755A">
      <w:pPr>
        <w:spacing w:beforeLines="50" w:afterLines="50"/>
        <w:divId w:val="492529424"/>
        <w:rPr>
          <w:sz w:val="26"/>
          <w:szCs w:val="26"/>
        </w:rPr>
      </w:pPr>
      <w:r>
        <w:rPr>
          <w:rStyle w:val="a7"/>
          <w:rFonts w:ascii="微软雅黑" w:eastAsia="微软雅黑" w:hAnsi="微软雅黑" w:cs="宋体"/>
          <w:b/>
          <w:bCs/>
          <w:sz w:val="26"/>
          <w:szCs w:val="26"/>
        </w:rPr>
        <w:t>1</w:t>
      </w:r>
      <w:r>
        <w:rPr>
          <w:sz w:val="26"/>
          <w:szCs w:val="26"/>
        </w:rPr>
        <w:t xml:space="preserve"> </w:t>
      </w:r>
      <w:r>
        <w:rPr>
          <w:rFonts w:ascii="微软雅黑" w:eastAsia="微软雅黑" w:hAnsi="微软雅黑" w:hint="eastAsia"/>
          <w:color w:val="D92142"/>
          <w:sz w:val="27"/>
          <w:szCs w:val="27"/>
        </w:rPr>
        <w:t>年所得</w:t>
      </w:r>
      <w:r>
        <w:rPr>
          <w:rFonts w:ascii="微软雅黑" w:eastAsia="微软雅黑" w:hAnsi="微软雅黑"/>
          <w:color w:val="D92142"/>
          <w:sz w:val="27"/>
          <w:szCs w:val="27"/>
        </w:rPr>
        <w:t>12</w:t>
      </w:r>
      <w:r>
        <w:rPr>
          <w:rFonts w:ascii="微软雅黑" w:eastAsia="微软雅黑" w:hAnsi="微软雅黑" w:hint="eastAsia"/>
          <w:color w:val="D92142"/>
          <w:sz w:val="27"/>
          <w:szCs w:val="27"/>
        </w:rPr>
        <w:t>万元以上的申报对象</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hint="eastAsia"/>
        </w:rPr>
        <w:t>年所得</w:t>
      </w:r>
      <w:r>
        <w:rPr>
          <w:rFonts w:ascii="微软雅黑" w:eastAsia="微软雅黑" w:hAnsi="微软雅黑"/>
        </w:rPr>
        <w:t>12</w:t>
      </w:r>
      <w:r>
        <w:rPr>
          <w:rFonts w:ascii="微软雅黑" w:eastAsia="微软雅黑" w:hAnsi="微软雅黑" w:hint="eastAsia"/>
        </w:rPr>
        <w:t>万元以上的纳税人，是指纳</w:t>
      </w:r>
      <w:bookmarkStart w:id="0" w:name="_GoBack"/>
      <w:bookmarkEnd w:id="0"/>
      <w:r>
        <w:rPr>
          <w:rFonts w:ascii="微软雅黑" w:eastAsia="微软雅黑" w:hAnsi="微软雅黑" w:hint="eastAsia"/>
        </w:rPr>
        <w:t>税人在一个纳税年度取得以下各项所得的合计数额达到</w:t>
      </w:r>
      <w:r>
        <w:rPr>
          <w:rFonts w:ascii="微软雅黑" w:eastAsia="微软雅黑" w:hAnsi="微软雅黑"/>
        </w:rPr>
        <w:t>12</w:t>
      </w:r>
      <w:r>
        <w:rPr>
          <w:rFonts w:ascii="微软雅黑" w:eastAsia="微软雅黑" w:hAnsi="微软雅黑" w:hint="eastAsia"/>
        </w:rPr>
        <w:t>万元：</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一</w:t>
      </w:r>
      <w:r>
        <w:rPr>
          <w:rFonts w:ascii="微软雅黑" w:eastAsia="微软雅黑" w:hAnsi="微软雅黑"/>
        </w:rPr>
        <w:t>)</w:t>
      </w:r>
      <w:r>
        <w:rPr>
          <w:rFonts w:ascii="微软雅黑" w:eastAsia="微软雅黑" w:hAnsi="微软雅黑" w:hint="eastAsia"/>
        </w:rPr>
        <w:t>工资、薪金所得；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二</w:t>
      </w:r>
      <w:r>
        <w:rPr>
          <w:rFonts w:ascii="微软雅黑" w:eastAsia="微软雅黑" w:hAnsi="微软雅黑"/>
        </w:rPr>
        <w:t>)</w:t>
      </w:r>
      <w:r>
        <w:rPr>
          <w:rFonts w:ascii="微软雅黑" w:eastAsia="微软雅黑" w:hAnsi="微软雅黑" w:hint="eastAsia"/>
        </w:rPr>
        <w:t>个体工商户的生产、经营所得；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lastRenderedPageBreak/>
        <w:t>(</w:t>
      </w:r>
      <w:r>
        <w:rPr>
          <w:rFonts w:ascii="微软雅黑" w:eastAsia="微软雅黑" w:hAnsi="微软雅黑" w:hint="eastAsia"/>
        </w:rPr>
        <w:t>三</w:t>
      </w:r>
      <w:r>
        <w:rPr>
          <w:rFonts w:ascii="微软雅黑" w:eastAsia="微软雅黑" w:hAnsi="微软雅黑"/>
        </w:rPr>
        <w:t>)</w:t>
      </w:r>
      <w:r>
        <w:rPr>
          <w:rFonts w:ascii="微软雅黑" w:eastAsia="微软雅黑" w:hAnsi="微软雅黑" w:hint="eastAsia"/>
        </w:rPr>
        <w:t>对企事业单位的承包经营、承租经营所得；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四</w:t>
      </w:r>
      <w:r>
        <w:rPr>
          <w:rFonts w:ascii="微软雅黑" w:eastAsia="微软雅黑" w:hAnsi="微软雅黑"/>
        </w:rPr>
        <w:t>)</w:t>
      </w:r>
      <w:r>
        <w:rPr>
          <w:rFonts w:ascii="微软雅黑" w:eastAsia="微软雅黑" w:hAnsi="微软雅黑" w:hint="eastAsia"/>
        </w:rPr>
        <w:t>劳务报酬所得；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五</w:t>
      </w:r>
      <w:r>
        <w:rPr>
          <w:rFonts w:ascii="微软雅黑" w:eastAsia="微软雅黑" w:hAnsi="微软雅黑"/>
        </w:rPr>
        <w:t>)</w:t>
      </w:r>
      <w:r>
        <w:rPr>
          <w:rFonts w:ascii="微软雅黑" w:eastAsia="微软雅黑" w:hAnsi="微软雅黑" w:hint="eastAsia"/>
        </w:rPr>
        <w:t>稿酬所得；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六</w:t>
      </w:r>
      <w:r>
        <w:rPr>
          <w:rFonts w:ascii="微软雅黑" w:eastAsia="微软雅黑" w:hAnsi="微软雅黑"/>
        </w:rPr>
        <w:t>)</w:t>
      </w:r>
      <w:r>
        <w:rPr>
          <w:rFonts w:ascii="微软雅黑" w:eastAsia="微软雅黑" w:hAnsi="微软雅黑" w:hint="eastAsia"/>
        </w:rPr>
        <w:t>特许权使用费所得；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七</w:t>
      </w:r>
      <w:r>
        <w:rPr>
          <w:rFonts w:ascii="微软雅黑" w:eastAsia="微软雅黑" w:hAnsi="微软雅黑"/>
        </w:rPr>
        <w:t>)</w:t>
      </w:r>
      <w:r>
        <w:rPr>
          <w:rFonts w:ascii="微软雅黑" w:eastAsia="微软雅黑" w:hAnsi="微软雅黑" w:hint="eastAsia"/>
        </w:rPr>
        <w:t>利息、股息、红利所得；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八</w:t>
      </w:r>
      <w:r>
        <w:rPr>
          <w:rFonts w:ascii="微软雅黑" w:eastAsia="微软雅黑" w:hAnsi="微软雅黑"/>
        </w:rPr>
        <w:t>)</w:t>
      </w:r>
      <w:r>
        <w:rPr>
          <w:rFonts w:ascii="微软雅黑" w:eastAsia="微软雅黑" w:hAnsi="微软雅黑" w:hint="eastAsia"/>
        </w:rPr>
        <w:t>财产租赁所得；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九</w:t>
      </w:r>
      <w:r>
        <w:rPr>
          <w:rFonts w:ascii="微软雅黑" w:eastAsia="微软雅黑" w:hAnsi="微软雅黑"/>
        </w:rPr>
        <w:t>)</w:t>
      </w:r>
      <w:r>
        <w:rPr>
          <w:rFonts w:ascii="微软雅黑" w:eastAsia="微软雅黑" w:hAnsi="微软雅黑" w:hint="eastAsia"/>
        </w:rPr>
        <w:t>财产转让所得；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十</w:t>
      </w:r>
      <w:r>
        <w:rPr>
          <w:rFonts w:ascii="微软雅黑" w:eastAsia="微软雅黑" w:hAnsi="微软雅黑"/>
        </w:rPr>
        <w:t>)</w:t>
      </w:r>
      <w:r>
        <w:rPr>
          <w:rFonts w:ascii="微软雅黑" w:eastAsia="微软雅黑" w:hAnsi="微软雅黑" w:hint="eastAsia"/>
        </w:rPr>
        <w:t>偶然所得；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十一</w:t>
      </w:r>
      <w:r>
        <w:rPr>
          <w:rFonts w:ascii="微软雅黑" w:eastAsia="微软雅黑" w:hAnsi="微软雅黑"/>
        </w:rPr>
        <w:t>)</w:t>
      </w:r>
      <w:r>
        <w:rPr>
          <w:rFonts w:ascii="微软雅黑" w:eastAsia="微软雅黑" w:hAnsi="微软雅黑" w:hint="eastAsia"/>
        </w:rPr>
        <w:t>经国务院财政部门确定征税的其他所得。</w:t>
      </w:r>
      <w:r>
        <w:rPr>
          <w:sz w:val="26"/>
          <w:szCs w:val="26"/>
        </w:rPr>
        <w:t xml:space="preserve"> </w:t>
      </w:r>
    </w:p>
    <w:p w:rsidR="00DF14B4" w:rsidRDefault="00DF14B4" w:rsidP="0006755A">
      <w:pPr>
        <w:spacing w:beforeLines="50" w:afterLines="50"/>
        <w:divId w:val="492529424"/>
        <w:rPr>
          <w:sz w:val="26"/>
          <w:szCs w:val="26"/>
        </w:rPr>
      </w:pPr>
      <w:r>
        <w:rPr>
          <w:rStyle w:val="a7"/>
          <w:rFonts w:ascii="微软雅黑" w:eastAsia="微软雅黑" w:hAnsi="微软雅黑" w:cs="宋体"/>
          <w:b/>
          <w:bCs/>
          <w:sz w:val="26"/>
          <w:szCs w:val="26"/>
        </w:rPr>
        <w:t>2</w:t>
      </w:r>
      <w:r>
        <w:rPr>
          <w:sz w:val="26"/>
          <w:szCs w:val="26"/>
        </w:rPr>
        <w:t xml:space="preserve"> </w:t>
      </w:r>
      <w:r>
        <w:rPr>
          <w:rFonts w:ascii="微软雅黑" w:eastAsia="微软雅黑" w:hAnsi="微软雅黑" w:hint="eastAsia"/>
          <w:color w:val="D92142"/>
          <w:sz w:val="27"/>
          <w:szCs w:val="27"/>
        </w:rPr>
        <w:t>申报所得的计算方法</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一</w:t>
      </w:r>
      <w:r>
        <w:rPr>
          <w:rFonts w:ascii="微软雅黑" w:eastAsia="微软雅黑" w:hAnsi="微软雅黑"/>
        </w:rPr>
        <w:t>)</w:t>
      </w:r>
      <w:r>
        <w:rPr>
          <w:rFonts w:ascii="微软雅黑" w:eastAsia="微软雅黑" w:hAnsi="微软雅黑" w:hint="eastAsia"/>
        </w:rPr>
        <w:t>工资、薪金所得，按照未减除费用</w:t>
      </w:r>
      <w:r>
        <w:rPr>
          <w:rFonts w:ascii="微软雅黑" w:eastAsia="微软雅黑" w:hAnsi="微软雅黑"/>
        </w:rPr>
        <w:t>(</w:t>
      </w:r>
      <w:r>
        <w:rPr>
          <w:rFonts w:ascii="微软雅黑" w:eastAsia="微软雅黑" w:hAnsi="微软雅黑" w:hint="eastAsia"/>
        </w:rPr>
        <w:t>每月</w:t>
      </w:r>
      <w:r>
        <w:rPr>
          <w:rFonts w:ascii="微软雅黑" w:eastAsia="微软雅黑" w:hAnsi="微软雅黑"/>
        </w:rPr>
        <w:t>3500</w:t>
      </w:r>
      <w:r>
        <w:rPr>
          <w:rFonts w:ascii="微软雅黑" w:eastAsia="微软雅黑" w:hAnsi="微软雅黑" w:hint="eastAsia"/>
        </w:rPr>
        <w:t>元</w:t>
      </w:r>
      <w:r>
        <w:rPr>
          <w:rFonts w:ascii="微软雅黑" w:eastAsia="微软雅黑" w:hAnsi="微软雅黑"/>
        </w:rPr>
        <w:t>)</w:t>
      </w:r>
      <w:r>
        <w:rPr>
          <w:rFonts w:ascii="微软雅黑" w:eastAsia="微软雅黑" w:hAnsi="微软雅黑" w:hint="eastAsia"/>
        </w:rPr>
        <w:t>及附加减除费用</w:t>
      </w:r>
      <w:r>
        <w:rPr>
          <w:rFonts w:ascii="微软雅黑" w:eastAsia="微软雅黑" w:hAnsi="微软雅黑"/>
        </w:rPr>
        <w:t>(</w:t>
      </w:r>
      <w:r>
        <w:rPr>
          <w:rFonts w:ascii="微软雅黑" w:eastAsia="微软雅黑" w:hAnsi="微软雅黑" w:hint="eastAsia"/>
        </w:rPr>
        <w:t>每月</w:t>
      </w:r>
      <w:r>
        <w:rPr>
          <w:rFonts w:ascii="微软雅黑" w:eastAsia="微软雅黑" w:hAnsi="微软雅黑"/>
        </w:rPr>
        <w:t>1300</w:t>
      </w:r>
      <w:r>
        <w:rPr>
          <w:rFonts w:ascii="微软雅黑" w:eastAsia="微软雅黑" w:hAnsi="微软雅黑" w:hint="eastAsia"/>
        </w:rPr>
        <w:t>元</w:t>
      </w:r>
      <w:r>
        <w:rPr>
          <w:rFonts w:ascii="微软雅黑" w:eastAsia="微软雅黑" w:hAnsi="微软雅黑"/>
        </w:rPr>
        <w:t>)</w:t>
      </w:r>
      <w:r>
        <w:rPr>
          <w:rFonts w:ascii="微软雅黑" w:eastAsia="微软雅黑" w:hAnsi="微软雅黑" w:hint="eastAsia"/>
        </w:rPr>
        <w:t>的收入额计算。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二</w:t>
      </w:r>
      <w:r>
        <w:rPr>
          <w:rFonts w:ascii="微软雅黑" w:eastAsia="微软雅黑" w:hAnsi="微软雅黑"/>
        </w:rPr>
        <w:t>)</w:t>
      </w:r>
      <w:r>
        <w:rPr>
          <w:rFonts w:ascii="微软雅黑" w:eastAsia="微软雅黑" w:hAnsi="微软雅黑" w:hint="eastAsia"/>
        </w:rPr>
        <w:t>个体工商户的生产、经营所得，按照应纳税所得额计算。实行查账征收的，按照每一纳税年度的收入总额减除成本、费用以及损失后的余额计算</w:t>
      </w:r>
      <w:r>
        <w:rPr>
          <w:rFonts w:ascii="微软雅黑" w:eastAsia="微软雅黑" w:hAnsi="微软雅黑"/>
        </w:rPr>
        <w:t>;</w:t>
      </w:r>
      <w:r>
        <w:rPr>
          <w:rFonts w:ascii="微软雅黑" w:eastAsia="微软雅黑" w:hAnsi="微软雅黑" w:hint="eastAsia"/>
        </w:rPr>
        <w:t>实行定期定额征收的，按照纳税人自行申报的年度应纳税所得额计算，或者按照其自行申报的年度应纳税经营额乘以应税所得率计算。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三</w:t>
      </w:r>
      <w:r>
        <w:rPr>
          <w:rFonts w:ascii="微软雅黑" w:eastAsia="微软雅黑" w:hAnsi="微软雅黑"/>
        </w:rPr>
        <w:t>)</w:t>
      </w:r>
      <w:r>
        <w:rPr>
          <w:rFonts w:ascii="微软雅黑" w:eastAsia="微软雅黑" w:hAnsi="微软雅黑" w:hint="eastAsia"/>
        </w:rPr>
        <w:t>对企事业单位的承包经营、承租经营所得，按照每一纳税年度的收入总额计算，即按照承包经营、承租经营者实际取得的经营利润，加上从承包、承租的企事业单位中取得的工资、薪金性质的所得计算。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lastRenderedPageBreak/>
        <w:t>(</w:t>
      </w:r>
      <w:r>
        <w:rPr>
          <w:rFonts w:ascii="微软雅黑" w:eastAsia="微软雅黑" w:hAnsi="微软雅黑" w:hint="eastAsia"/>
        </w:rPr>
        <w:t>四</w:t>
      </w:r>
      <w:r>
        <w:rPr>
          <w:rFonts w:ascii="微软雅黑" w:eastAsia="微软雅黑" w:hAnsi="微软雅黑"/>
        </w:rPr>
        <w:t>)</w:t>
      </w:r>
      <w:r>
        <w:rPr>
          <w:rFonts w:ascii="微软雅黑" w:eastAsia="微软雅黑" w:hAnsi="微软雅黑" w:hint="eastAsia"/>
        </w:rPr>
        <w:t>劳务报酬所得，稿酬所得，特许权使用费所得，按照未减除费用</w:t>
      </w:r>
      <w:r>
        <w:rPr>
          <w:rFonts w:ascii="微软雅黑" w:eastAsia="微软雅黑" w:hAnsi="微软雅黑"/>
        </w:rPr>
        <w:t>(</w:t>
      </w:r>
      <w:r>
        <w:rPr>
          <w:rFonts w:ascii="微软雅黑" w:eastAsia="微软雅黑" w:hAnsi="微软雅黑" w:hint="eastAsia"/>
        </w:rPr>
        <w:t>每次</w:t>
      </w:r>
      <w:r>
        <w:rPr>
          <w:rFonts w:ascii="微软雅黑" w:eastAsia="微软雅黑" w:hAnsi="微软雅黑"/>
        </w:rPr>
        <w:t>800</w:t>
      </w:r>
      <w:r>
        <w:rPr>
          <w:rFonts w:ascii="微软雅黑" w:eastAsia="微软雅黑" w:hAnsi="微软雅黑" w:hint="eastAsia"/>
        </w:rPr>
        <w:t>元或者每次收入的</w:t>
      </w:r>
      <w:r>
        <w:rPr>
          <w:rFonts w:ascii="微软雅黑" w:eastAsia="微软雅黑" w:hAnsi="微软雅黑"/>
        </w:rPr>
        <w:t>20%)</w:t>
      </w:r>
      <w:r>
        <w:rPr>
          <w:rFonts w:ascii="微软雅黑" w:eastAsia="微软雅黑" w:hAnsi="微软雅黑" w:hint="eastAsia"/>
        </w:rPr>
        <w:t>的收入额计算。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五</w:t>
      </w:r>
      <w:r>
        <w:rPr>
          <w:rFonts w:ascii="微软雅黑" w:eastAsia="微软雅黑" w:hAnsi="微软雅黑"/>
        </w:rPr>
        <w:t>)</w:t>
      </w:r>
      <w:r>
        <w:rPr>
          <w:rFonts w:ascii="微软雅黑" w:eastAsia="微软雅黑" w:hAnsi="微软雅黑" w:hint="eastAsia"/>
        </w:rPr>
        <w:t>财产租赁所得，按照未减除费用</w:t>
      </w:r>
      <w:r>
        <w:rPr>
          <w:rFonts w:ascii="微软雅黑" w:eastAsia="微软雅黑" w:hAnsi="微软雅黑"/>
        </w:rPr>
        <w:t>(</w:t>
      </w:r>
      <w:r>
        <w:rPr>
          <w:rFonts w:ascii="微软雅黑" w:eastAsia="微软雅黑" w:hAnsi="微软雅黑" w:hint="eastAsia"/>
        </w:rPr>
        <w:t>每次</w:t>
      </w:r>
      <w:r>
        <w:rPr>
          <w:rFonts w:ascii="微软雅黑" w:eastAsia="微软雅黑" w:hAnsi="微软雅黑"/>
        </w:rPr>
        <w:t>800</w:t>
      </w:r>
      <w:r>
        <w:rPr>
          <w:rFonts w:ascii="微软雅黑" w:eastAsia="微软雅黑" w:hAnsi="微软雅黑" w:hint="eastAsia"/>
        </w:rPr>
        <w:t>元或者每次收入的</w:t>
      </w:r>
      <w:r>
        <w:rPr>
          <w:rFonts w:ascii="微软雅黑" w:eastAsia="微软雅黑" w:hAnsi="微软雅黑"/>
        </w:rPr>
        <w:t>20%)</w:t>
      </w:r>
      <w:r>
        <w:rPr>
          <w:rFonts w:ascii="微软雅黑" w:eastAsia="微软雅黑" w:hAnsi="微软雅黑" w:hint="eastAsia"/>
        </w:rPr>
        <w:t>和修缮费用的收入额计算。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六</w:t>
      </w:r>
      <w:r>
        <w:rPr>
          <w:rFonts w:ascii="微软雅黑" w:eastAsia="微软雅黑" w:hAnsi="微软雅黑"/>
        </w:rPr>
        <w:t>)</w:t>
      </w:r>
      <w:r>
        <w:rPr>
          <w:rFonts w:ascii="微软雅黑" w:eastAsia="微软雅黑" w:hAnsi="微软雅黑" w:hint="eastAsia"/>
        </w:rPr>
        <w:t>财产转让所得，按照应纳税所得额计算，即按照以转让财产的收入额减除财产原值和转让财产过程中缴纳的税金及有关合理费用后的余额计算。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七</w:t>
      </w:r>
      <w:r>
        <w:rPr>
          <w:rFonts w:ascii="微软雅黑" w:eastAsia="微软雅黑" w:hAnsi="微软雅黑"/>
        </w:rPr>
        <w:t>)</w:t>
      </w:r>
      <w:r>
        <w:rPr>
          <w:rFonts w:ascii="微软雅黑" w:eastAsia="微软雅黑" w:hAnsi="微软雅黑" w:hint="eastAsia"/>
        </w:rPr>
        <w:t>利息、股息、红利所得，偶然所得和其他所得，按照收入额全额计算。</w:t>
      </w:r>
      <w:r>
        <w:rPr>
          <w:sz w:val="26"/>
          <w:szCs w:val="26"/>
        </w:rPr>
        <w:t xml:space="preserve"> </w:t>
      </w:r>
    </w:p>
    <w:p w:rsidR="00DF14B4" w:rsidRDefault="00DF14B4" w:rsidP="0006755A">
      <w:pPr>
        <w:spacing w:beforeLines="50" w:afterLines="50"/>
        <w:divId w:val="492529424"/>
        <w:rPr>
          <w:sz w:val="26"/>
          <w:szCs w:val="26"/>
        </w:rPr>
      </w:pPr>
      <w:r>
        <w:rPr>
          <w:rStyle w:val="a7"/>
          <w:rFonts w:ascii="微软雅黑" w:eastAsia="微软雅黑" w:hAnsi="微软雅黑" w:cs="宋体"/>
          <w:b/>
          <w:bCs/>
          <w:sz w:val="26"/>
          <w:szCs w:val="26"/>
        </w:rPr>
        <w:t>3</w:t>
      </w:r>
      <w:r>
        <w:rPr>
          <w:sz w:val="26"/>
          <w:szCs w:val="26"/>
        </w:rPr>
        <w:t xml:space="preserve"> </w:t>
      </w:r>
      <w:r>
        <w:rPr>
          <w:rFonts w:ascii="微软雅黑" w:eastAsia="微软雅黑" w:hAnsi="微软雅黑" w:hint="eastAsia"/>
          <w:color w:val="D92142"/>
          <w:sz w:val="27"/>
          <w:szCs w:val="27"/>
        </w:rPr>
        <w:t>不计入</w:t>
      </w:r>
      <w:r>
        <w:rPr>
          <w:rFonts w:ascii="微软雅黑" w:eastAsia="微软雅黑" w:hAnsi="微软雅黑"/>
          <w:color w:val="D92142"/>
          <w:sz w:val="27"/>
          <w:szCs w:val="27"/>
        </w:rPr>
        <w:t>12</w:t>
      </w:r>
      <w:r>
        <w:rPr>
          <w:rFonts w:ascii="微软雅黑" w:eastAsia="微软雅黑" w:hAnsi="微软雅黑" w:hint="eastAsia"/>
          <w:color w:val="D92142"/>
          <w:sz w:val="27"/>
          <w:szCs w:val="27"/>
        </w:rPr>
        <w:t>万所得的收入</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一</w:t>
      </w:r>
      <w:r>
        <w:rPr>
          <w:rFonts w:ascii="微软雅黑" w:eastAsia="微软雅黑" w:hAnsi="微软雅黑"/>
        </w:rPr>
        <w:t>)</w:t>
      </w:r>
      <w:r>
        <w:rPr>
          <w:rFonts w:ascii="微软雅黑" w:eastAsia="微软雅黑" w:hAnsi="微软雅黑" w:hint="eastAsia"/>
        </w:rPr>
        <w:t>个人所得税法第四条第一项至第九项规定的免税所得，即：</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1.</w:t>
      </w:r>
      <w:r>
        <w:rPr>
          <w:rFonts w:ascii="微软雅黑" w:eastAsia="微软雅黑" w:hAnsi="微软雅黑" w:hint="eastAsia"/>
        </w:rPr>
        <w:t>省级人民政府、国务院部委、中国人民解放军军以上单位</w:t>
      </w:r>
      <w:r>
        <w:rPr>
          <w:rFonts w:ascii="微软雅黑" w:eastAsia="微软雅黑" w:hAnsi="微软雅黑"/>
        </w:rPr>
        <w:t>,</w:t>
      </w:r>
      <w:r>
        <w:rPr>
          <w:rFonts w:ascii="微软雅黑" w:eastAsia="微软雅黑" w:hAnsi="微软雅黑" w:hint="eastAsia"/>
        </w:rPr>
        <w:t>以及外国组织、国际组织颁发的科学、教育、技术、文化、卫生、体育、环境保护等方面的奖金</w:t>
      </w:r>
      <w:r>
        <w:rPr>
          <w:rFonts w:ascii="微软雅黑" w:eastAsia="微软雅黑" w:hAnsi="微软雅黑"/>
        </w:rPr>
        <w:t>;</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2.</w:t>
      </w:r>
      <w:r>
        <w:rPr>
          <w:rFonts w:ascii="微软雅黑" w:eastAsia="微软雅黑" w:hAnsi="微软雅黑" w:hint="eastAsia"/>
        </w:rPr>
        <w:t>国债和国家发行的金融债券利息</w:t>
      </w:r>
      <w:r>
        <w:rPr>
          <w:rFonts w:ascii="微软雅黑" w:eastAsia="微软雅黑" w:hAnsi="微软雅黑"/>
        </w:rPr>
        <w:t>;</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3.</w:t>
      </w:r>
      <w:r>
        <w:rPr>
          <w:rFonts w:ascii="微软雅黑" w:eastAsia="微软雅黑" w:hAnsi="微软雅黑" w:hint="eastAsia"/>
        </w:rPr>
        <w:t>按照国家统一规定发给的补贴、津贴，即个人所得税法实施条例第十三条规定的按照国务院规定发放的政府特殊津贴、院士津贴、资深院士津贴以及国务院规定免纳个人所得税的其他补贴、津贴</w:t>
      </w:r>
      <w:r>
        <w:rPr>
          <w:rFonts w:ascii="微软雅黑" w:eastAsia="微软雅黑" w:hAnsi="微软雅黑"/>
        </w:rPr>
        <w:t>;</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4.</w:t>
      </w:r>
      <w:r>
        <w:rPr>
          <w:rFonts w:ascii="微软雅黑" w:eastAsia="微软雅黑" w:hAnsi="微软雅黑" w:hint="eastAsia"/>
        </w:rPr>
        <w:t>福利费、抚恤金、救济金</w:t>
      </w:r>
      <w:r>
        <w:rPr>
          <w:rFonts w:ascii="微软雅黑" w:eastAsia="微软雅黑" w:hAnsi="微软雅黑"/>
        </w:rPr>
        <w:t>;</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5.</w:t>
      </w:r>
      <w:r>
        <w:rPr>
          <w:rFonts w:ascii="微软雅黑" w:eastAsia="微软雅黑" w:hAnsi="微软雅黑" w:hint="eastAsia"/>
        </w:rPr>
        <w:t>保险赔款</w:t>
      </w:r>
      <w:r>
        <w:rPr>
          <w:rFonts w:ascii="微软雅黑" w:eastAsia="微软雅黑" w:hAnsi="微软雅黑"/>
        </w:rPr>
        <w:t>;</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lastRenderedPageBreak/>
        <w:t>6.</w:t>
      </w:r>
      <w:r>
        <w:rPr>
          <w:rFonts w:ascii="微软雅黑" w:eastAsia="微软雅黑" w:hAnsi="微软雅黑" w:hint="eastAsia"/>
        </w:rPr>
        <w:t>军人的转业费、复员费</w:t>
      </w:r>
      <w:r>
        <w:rPr>
          <w:rFonts w:ascii="微软雅黑" w:eastAsia="微软雅黑" w:hAnsi="微软雅黑"/>
        </w:rPr>
        <w:t>;</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7.</w:t>
      </w:r>
      <w:r>
        <w:rPr>
          <w:rFonts w:ascii="微软雅黑" w:eastAsia="微软雅黑" w:hAnsi="微软雅黑" w:hint="eastAsia"/>
        </w:rPr>
        <w:t>按照国家统一规定发给干部、职工的安家费、退职费、退休工资、离休工资、离休生活补助费</w:t>
      </w:r>
      <w:r>
        <w:rPr>
          <w:rFonts w:ascii="微软雅黑" w:eastAsia="微软雅黑" w:hAnsi="微软雅黑"/>
        </w:rPr>
        <w:t>;</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8.</w:t>
      </w:r>
      <w:r>
        <w:rPr>
          <w:rFonts w:ascii="微软雅黑" w:eastAsia="微软雅黑" w:hAnsi="微软雅黑" w:hint="eastAsia"/>
        </w:rPr>
        <w:t>依照我国有关法律规定应予免税的各国驻华使馆、领事馆的外交代表、领事官员和其他人员的所得</w:t>
      </w:r>
      <w:r>
        <w:rPr>
          <w:rFonts w:ascii="微软雅黑" w:eastAsia="微软雅黑" w:hAnsi="微软雅黑"/>
        </w:rPr>
        <w:t>;</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9.</w:t>
      </w:r>
      <w:r>
        <w:rPr>
          <w:rFonts w:ascii="微软雅黑" w:eastAsia="微软雅黑" w:hAnsi="微软雅黑" w:hint="eastAsia"/>
        </w:rPr>
        <w:t>中国政府参加的国际公约、签订的协议中规定免税的所得。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二</w:t>
      </w:r>
      <w:r>
        <w:rPr>
          <w:rFonts w:ascii="微软雅黑" w:eastAsia="微软雅黑" w:hAnsi="微软雅黑"/>
        </w:rPr>
        <w:t>)</w:t>
      </w:r>
      <w:r>
        <w:rPr>
          <w:rFonts w:ascii="微软雅黑" w:eastAsia="微软雅黑" w:hAnsi="微软雅黑" w:hint="eastAsia"/>
        </w:rPr>
        <w:t>个人所得税法实施条例第六条规定可以免税的来源于中国境外的所得。</w:t>
      </w:r>
      <w:r>
        <w:rPr>
          <w:sz w:val="26"/>
          <w:szCs w:val="26"/>
        </w:rPr>
        <w:t xml:space="preserve"> </w:t>
      </w:r>
    </w:p>
    <w:p w:rsidR="00DF14B4" w:rsidRDefault="00DF14B4" w:rsidP="0006755A">
      <w:pPr>
        <w:pStyle w:val="a5"/>
        <w:spacing w:beforeLines="50" w:beforeAutospacing="0" w:afterLines="50" w:afterAutospacing="0"/>
        <w:ind w:firstLine="480"/>
        <w:jc w:val="both"/>
        <w:divId w:val="492529424"/>
        <w:rPr>
          <w:sz w:val="26"/>
          <w:szCs w:val="26"/>
        </w:rPr>
      </w:pPr>
      <w:r>
        <w:rPr>
          <w:rFonts w:ascii="微软雅黑" w:eastAsia="微软雅黑" w:hAnsi="微软雅黑"/>
        </w:rPr>
        <w:t>(</w:t>
      </w:r>
      <w:r>
        <w:rPr>
          <w:rFonts w:ascii="微软雅黑" w:eastAsia="微软雅黑" w:hAnsi="微软雅黑" w:hint="eastAsia"/>
        </w:rPr>
        <w:t>三</w:t>
      </w:r>
      <w:r>
        <w:rPr>
          <w:rFonts w:ascii="微软雅黑" w:eastAsia="微软雅黑" w:hAnsi="微软雅黑"/>
        </w:rPr>
        <w:t>)</w:t>
      </w:r>
      <w:r>
        <w:rPr>
          <w:rFonts w:ascii="微软雅黑" w:eastAsia="微软雅黑" w:hAnsi="微软雅黑" w:hint="eastAsia"/>
        </w:rPr>
        <w:t>个人所得税法实施条例第二十五条规定的按照国家规定单位为个人缴付和个人缴付的基本养老保险费、基本医疗保险费、失业保险费、住房公积金。</w:t>
      </w:r>
      <w:r>
        <w:rPr>
          <w:sz w:val="26"/>
          <w:szCs w:val="26"/>
        </w:rPr>
        <w:t xml:space="preserve"> </w:t>
      </w:r>
    </w:p>
    <w:p w:rsidR="00DF14B4" w:rsidRDefault="00DF14B4" w:rsidP="0006755A">
      <w:pPr>
        <w:pStyle w:val="a5"/>
        <w:spacing w:beforeLines="50" w:beforeAutospacing="0" w:afterLines="50" w:afterAutospacing="0"/>
        <w:divId w:val="492529424"/>
        <w:rPr>
          <w:sz w:val="26"/>
          <w:szCs w:val="26"/>
        </w:rPr>
      </w:pPr>
    </w:p>
    <w:sectPr w:rsidR="00DF14B4" w:rsidSect="004603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4B4" w:rsidRDefault="00DF14B4" w:rsidP="00CE3F35">
      <w:r>
        <w:separator/>
      </w:r>
    </w:p>
  </w:endnote>
  <w:endnote w:type="continuationSeparator" w:id="0">
    <w:p w:rsidR="00DF14B4" w:rsidRDefault="00DF14B4" w:rsidP="00CE3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4B4" w:rsidRDefault="00DF14B4" w:rsidP="00CE3F35">
      <w:r>
        <w:separator/>
      </w:r>
    </w:p>
  </w:footnote>
  <w:footnote w:type="continuationSeparator" w:id="0">
    <w:p w:rsidR="00DF14B4" w:rsidRDefault="00DF14B4" w:rsidP="00CE3F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noPunctuationKerning/>
  <w:characterSpacingControl w:val="doNotCompress"/>
  <w:noLineBreaksAfter w:lang="zh-CN" w:val="$([{£¥·‘“〈《「『【〔〖〝﹙﹛﹝＄（．［｛￡￥"/>
  <w:noLineBreaksBefore w:lang="zh-CN" w:val="!%),.:;&gt;?]}¢¨°·ˇˉ―‖’”…‰′″›℃∶、。〃〉》」』】〕〗〞︶︺︾﹀﹄﹚﹜﹞！＂％＇），．：；？］｀｜｝～￠"/>
  <w:footnotePr>
    <w:footnote w:id="-1"/>
    <w:footnote w:id="0"/>
  </w:footnotePr>
  <w:endnotePr>
    <w:endnote w:id="-1"/>
    <w:endnote w:id="0"/>
  </w:endnotePr>
  <w:compat>
    <w:useFELayout/>
  </w:compat>
  <w:rsids>
    <w:rsidRoot w:val="00CE3F35"/>
    <w:rsid w:val="0006755A"/>
    <w:rsid w:val="003F2AFD"/>
    <w:rsid w:val="0046033B"/>
    <w:rsid w:val="004A3C6F"/>
    <w:rsid w:val="004B261E"/>
    <w:rsid w:val="004F6060"/>
    <w:rsid w:val="00B8527A"/>
    <w:rsid w:val="00CE3F35"/>
    <w:rsid w:val="00DF14B4"/>
    <w:rsid w:val="00EA0E7A"/>
    <w:rsid w:val="00ED1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33B"/>
    <w:rPr>
      <w:rFonts w:ascii="宋体" w:hAnsi="宋体" w:cs="宋体"/>
      <w:kern w:val="0"/>
      <w:sz w:val="24"/>
      <w:szCs w:val="24"/>
    </w:rPr>
  </w:style>
  <w:style w:type="paragraph" w:styleId="2">
    <w:name w:val="heading 2"/>
    <w:basedOn w:val="a"/>
    <w:link w:val="2Char"/>
    <w:uiPriority w:val="99"/>
    <w:qFormat/>
    <w:rsid w:val="0046033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46033B"/>
    <w:rPr>
      <w:rFonts w:ascii="Calibri Light" w:eastAsia="宋体" w:hAnsi="Calibri Light" w:cs="Times New Roman"/>
      <w:b/>
      <w:bCs/>
      <w:sz w:val="32"/>
      <w:szCs w:val="32"/>
    </w:rPr>
  </w:style>
  <w:style w:type="character" w:styleId="a3">
    <w:name w:val="Hyperlink"/>
    <w:basedOn w:val="a0"/>
    <w:uiPriority w:val="99"/>
    <w:semiHidden/>
    <w:rsid w:val="0046033B"/>
    <w:rPr>
      <w:rFonts w:cs="Times New Roman"/>
      <w:color w:val="0000FF"/>
      <w:u w:val="none"/>
      <w:effect w:val="none"/>
    </w:rPr>
  </w:style>
  <w:style w:type="character" w:styleId="a4">
    <w:name w:val="FollowedHyperlink"/>
    <w:basedOn w:val="a0"/>
    <w:uiPriority w:val="99"/>
    <w:semiHidden/>
    <w:rsid w:val="0046033B"/>
    <w:rPr>
      <w:rFonts w:cs="Times New Roman"/>
      <w:color w:val="800080"/>
      <w:u w:val="none"/>
      <w:effect w:val="none"/>
    </w:rPr>
  </w:style>
  <w:style w:type="paragraph" w:customStyle="1" w:styleId="posthead">
    <w:name w:val="posthead"/>
    <w:basedOn w:val="a"/>
    <w:uiPriority w:val="99"/>
    <w:rsid w:val="0046033B"/>
    <w:pPr>
      <w:pBdr>
        <w:bottom w:val="single" w:sz="6" w:space="4" w:color="EEEEEE"/>
      </w:pBdr>
      <w:spacing w:before="100" w:beforeAutospacing="1" w:after="100" w:afterAutospacing="1"/>
    </w:pPr>
    <w:rPr>
      <w:sz w:val="33"/>
      <w:szCs w:val="33"/>
    </w:rPr>
  </w:style>
  <w:style w:type="paragraph" w:customStyle="1" w:styleId="postdate">
    <w:name w:val="postdate"/>
    <w:basedOn w:val="a"/>
    <w:uiPriority w:val="99"/>
    <w:rsid w:val="0046033B"/>
    <w:pPr>
      <w:spacing w:before="75" w:after="120"/>
    </w:pPr>
    <w:rPr>
      <w:color w:val="DDDDDD"/>
      <w:sz w:val="18"/>
      <w:szCs w:val="18"/>
    </w:rPr>
  </w:style>
  <w:style w:type="paragraph" w:customStyle="1" w:styleId="jingxuantip">
    <w:name w:val="jingxuantip"/>
    <w:basedOn w:val="a"/>
    <w:uiPriority w:val="99"/>
    <w:rsid w:val="0046033B"/>
    <w:pPr>
      <w:pBdr>
        <w:bottom w:val="single" w:sz="6" w:space="8" w:color="DDDDDD"/>
      </w:pBdr>
      <w:shd w:val="clear" w:color="auto" w:fill="F2F2F2"/>
      <w:spacing w:after="150"/>
    </w:pPr>
  </w:style>
  <w:style w:type="paragraph" w:customStyle="1" w:styleId="flinkhead">
    <w:name w:val="flinkhead"/>
    <w:basedOn w:val="a"/>
    <w:uiPriority w:val="99"/>
    <w:rsid w:val="0046033B"/>
    <w:pPr>
      <w:spacing w:before="100" w:beforeAutospacing="1" w:after="100" w:afterAutospacing="1"/>
    </w:pPr>
  </w:style>
  <w:style w:type="paragraph" w:customStyle="1" w:styleId="flinkbox">
    <w:name w:val="flinkbox"/>
    <w:basedOn w:val="a"/>
    <w:uiPriority w:val="99"/>
    <w:rsid w:val="0046033B"/>
    <w:pPr>
      <w:pBdr>
        <w:bottom w:val="single" w:sz="6" w:space="9" w:color="E8E8E8"/>
      </w:pBdr>
      <w:spacing w:before="100" w:beforeAutospacing="1" w:after="100" w:afterAutospacing="1"/>
    </w:pPr>
  </w:style>
  <w:style w:type="paragraph" w:customStyle="1" w:styleId="flinkimg">
    <w:name w:val="flink_img"/>
    <w:basedOn w:val="a"/>
    <w:uiPriority w:val="99"/>
    <w:rsid w:val="0046033B"/>
    <w:pPr>
      <w:spacing w:before="100" w:beforeAutospacing="1" w:after="100" w:afterAutospacing="1"/>
      <w:ind w:left="300"/>
    </w:pPr>
  </w:style>
  <w:style w:type="paragraph" w:customStyle="1" w:styleId="flinkbody">
    <w:name w:val="flink_body"/>
    <w:basedOn w:val="a"/>
    <w:uiPriority w:val="99"/>
    <w:rsid w:val="0046033B"/>
    <w:pPr>
      <w:spacing w:before="100" w:beforeAutospacing="1" w:after="100" w:afterAutospacing="1" w:line="330" w:lineRule="atLeast"/>
    </w:pPr>
    <w:rPr>
      <w:color w:val="9A9A9A"/>
    </w:rPr>
  </w:style>
  <w:style w:type="paragraph" w:customStyle="1" w:styleId="flinkfoot">
    <w:name w:val="flink_foot"/>
    <w:basedOn w:val="a"/>
    <w:uiPriority w:val="99"/>
    <w:rsid w:val="0046033B"/>
    <w:pPr>
      <w:spacing w:before="100" w:beforeAutospacing="1" w:after="100" w:afterAutospacing="1"/>
    </w:pPr>
    <w:rPr>
      <w:color w:val="B6B6B6"/>
      <w:sz w:val="20"/>
      <w:szCs w:val="20"/>
    </w:rPr>
  </w:style>
  <w:style w:type="paragraph" w:customStyle="1" w:styleId="flinkfoottip">
    <w:name w:val="flink_foottip"/>
    <w:basedOn w:val="a"/>
    <w:uiPriority w:val="99"/>
    <w:rsid w:val="0046033B"/>
    <w:pPr>
      <w:shd w:val="clear" w:color="auto" w:fill="F0F0F0"/>
      <w:spacing w:before="100" w:beforeAutospacing="1" w:after="100" w:afterAutospacing="1"/>
    </w:pPr>
  </w:style>
  <w:style w:type="paragraph" w:styleId="a5">
    <w:name w:val="Normal (Web)"/>
    <w:basedOn w:val="a"/>
    <w:uiPriority w:val="99"/>
    <w:semiHidden/>
    <w:rsid w:val="0046033B"/>
    <w:pPr>
      <w:spacing w:before="100" w:beforeAutospacing="1" w:after="100" w:afterAutospacing="1"/>
    </w:pPr>
  </w:style>
  <w:style w:type="character" w:styleId="a6">
    <w:name w:val="Strong"/>
    <w:basedOn w:val="a0"/>
    <w:uiPriority w:val="99"/>
    <w:qFormat/>
    <w:rsid w:val="0046033B"/>
    <w:rPr>
      <w:rFonts w:cs="Times New Roman"/>
      <w:b/>
      <w:bCs/>
    </w:rPr>
  </w:style>
  <w:style w:type="character" w:styleId="a7">
    <w:name w:val="Emphasis"/>
    <w:basedOn w:val="a0"/>
    <w:uiPriority w:val="99"/>
    <w:qFormat/>
    <w:rsid w:val="0046033B"/>
    <w:rPr>
      <w:rFonts w:cs="Times New Roman"/>
      <w:i/>
      <w:iCs/>
    </w:rPr>
  </w:style>
  <w:style w:type="paragraph" w:styleId="a8">
    <w:name w:val="header"/>
    <w:basedOn w:val="a"/>
    <w:link w:val="Char"/>
    <w:uiPriority w:val="99"/>
    <w:rsid w:val="00CE3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locked/>
    <w:rsid w:val="00CE3F35"/>
    <w:rPr>
      <w:rFonts w:ascii="宋体" w:eastAsia="宋体" w:hAnsi="宋体" w:cs="宋体"/>
      <w:sz w:val="18"/>
      <w:szCs w:val="18"/>
    </w:rPr>
  </w:style>
  <w:style w:type="paragraph" w:styleId="a9">
    <w:name w:val="footer"/>
    <w:basedOn w:val="a"/>
    <w:link w:val="Char0"/>
    <w:uiPriority w:val="99"/>
    <w:rsid w:val="00CE3F35"/>
    <w:pPr>
      <w:tabs>
        <w:tab w:val="center" w:pos="4153"/>
        <w:tab w:val="right" w:pos="8306"/>
      </w:tabs>
      <w:snapToGrid w:val="0"/>
    </w:pPr>
    <w:rPr>
      <w:sz w:val="18"/>
      <w:szCs w:val="18"/>
    </w:rPr>
  </w:style>
  <w:style w:type="character" w:customStyle="1" w:styleId="Char0">
    <w:name w:val="页脚 Char"/>
    <w:basedOn w:val="a0"/>
    <w:link w:val="a9"/>
    <w:uiPriority w:val="99"/>
    <w:locked/>
    <w:rsid w:val="00CE3F35"/>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492529427">
      <w:marLeft w:val="0"/>
      <w:marRight w:val="0"/>
      <w:marTop w:val="0"/>
      <w:marBottom w:val="0"/>
      <w:divBdr>
        <w:top w:val="none" w:sz="0" w:space="0" w:color="auto"/>
        <w:left w:val="none" w:sz="0" w:space="0" w:color="auto"/>
        <w:bottom w:val="none" w:sz="0" w:space="0" w:color="auto"/>
        <w:right w:val="none" w:sz="0" w:space="0" w:color="auto"/>
      </w:divBdr>
      <w:divsChild>
        <w:div w:id="492529422">
          <w:marLeft w:val="0"/>
          <w:marRight w:val="0"/>
          <w:marTop w:val="0"/>
          <w:marBottom w:val="0"/>
          <w:divBdr>
            <w:top w:val="none" w:sz="0" w:space="0" w:color="auto"/>
            <w:left w:val="none" w:sz="0" w:space="0" w:color="auto"/>
            <w:bottom w:val="none" w:sz="0" w:space="0" w:color="auto"/>
            <w:right w:val="none" w:sz="0" w:space="0" w:color="auto"/>
          </w:divBdr>
        </w:div>
        <w:div w:id="492529423">
          <w:marLeft w:val="0"/>
          <w:marRight w:val="0"/>
          <w:marTop w:val="0"/>
          <w:marBottom w:val="0"/>
          <w:divBdr>
            <w:top w:val="none" w:sz="0" w:space="0" w:color="auto"/>
            <w:left w:val="none" w:sz="0" w:space="0" w:color="auto"/>
            <w:bottom w:val="none" w:sz="0" w:space="0" w:color="auto"/>
            <w:right w:val="none" w:sz="0" w:space="0" w:color="auto"/>
          </w:divBdr>
        </w:div>
        <w:div w:id="492529425">
          <w:marLeft w:val="300"/>
          <w:marRight w:val="0"/>
          <w:marTop w:val="0"/>
          <w:marBottom w:val="0"/>
          <w:divBdr>
            <w:top w:val="none" w:sz="0" w:space="0" w:color="auto"/>
            <w:left w:val="none" w:sz="0" w:space="0" w:color="auto"/>
            <w:bottom w:val="none" w:sz="0" w:space="0" w:color="auto"/>
            <w:right w:val="none" w:sz="0" w:space="0" w:color="auto"/>
          </w:divBdr>
        </w:div>
        <w:div w:id="492529426">
          <w:marLeft w:val="300"/>
          <w:marRight w:val="0"/>
          <w:marTop w:val="0"/>
          <w:marBottom w:val="0"/>
          <w:divBdr>
            <w:top w:val="none" w:sz="0" w:space="0" w:color="auto"/>
            <w:left w:val="none" w:sz="0" w:space="0" w:color="auto"/>
            <w:bottom w:val="none" w:sz="0" w:space="0" w:color="auto"/>
            <w:right w:val="none" w:sz="0" w:space="0" w:color="auto"/>
          </w:divBdr>
        </w:div>
        <w:div w:id="492529428">
          <w:marLeft w:val="300"/>
          <w:marRight w:val="0"/>
          <w:marTop w:val="0"/>
          <w:marBottom w:val="0"/>
          <w:divBdr>
            <w:top w:val="none" w:sz="0" w:space="0" w:color="auto"/>
            <w:left w:val="none" w:sz="0" w:space="0" w:color="auto"/>
            <w:bottom w:val="none" w:sz="0" w:space="0" w:color="auto"/>
            <w:right w:val="none" w:sz="0" w:space="0" w:color="auto"/>
          </w:divBdr>
        </w:div>
        <w:div w:id="492529431">
          <w:marLeft w:val="0"/>
          <w:marRight w:val="0"/>
          <w:marTop w:val="0"/>
          <w:marBottom w:val="0"/>
          <w:divBdr>
            <w:top w:val="none" w:sz="0" w:space="0" w:color="auto"/>
            <w:left w:val="none" w:sz="0" w:space="0" w:color="auto"/>
            <w:bottom w:val="none" w:sz="0" w:space="0" w:color="auto"/>
            <w:right w:val="none" w:sz="0" w:space="0" w:color="auto"/>
          </w:divBdr>
        </w:div>
        <w:div w:id="492529433">
          <w:marLeft w:val="0"/>
          <w:marRight w:val="0"/>
          <w:marTop w:val="0"/>
          <w:marBottom w:val="0"/>
          <w:divBdr>
            <w:top w:val="none" w:sz="0" w:space="0" w:color="auto"/>
            <w:left w:val="none" w:sz="0" w:space="0" w:color="auto"/>
            <w:bottom w:val="none" w:sz="0" w:space="0" w:color="auto"/>
            <w:right w:val="none" w:sz="0" w:space="0" w:color="auto"/>
          </w:divBdr>
        </w:div>
        <w:div w:id="492529435">
          <w:marLeft w:val="300"/>
          <w:marRight w:val="0"/>
          <w:marTop w:val="0"/>
          <w:marBottom w:val="0"/>
          <w:divBdr>
            <w:top w:val="none" w:sz="0" w:space="0" w:color="auto"/>
            <w:left w:val="none" w:sz="0" w:space="0" w:color="auto"/>
            <w:bottom w:val="none" w:sz="0" w:space="0" w:color="auto"/>
            <w:right w:val="none" w:sz="0" w:space="0" w:color="auto"/>
          </w:divBdr>
        </w:div>
        <w:div w:id="492529436">
          <w:marLeft w:val="0"/>
          <w:marRight w:val="0"/>
          <w:marTop w:val="0"/>
          <w:marBottom w:val="0"/>
          <w:divBdr>
            <w:top w:val="none" w:sz="0" w:space="0" w:color="auto"/>
            <w:left w:val="none" w:sz="0" w:space="0" w:color="auto"/>
            <w:bottom w:val="none" w:sz="0" w:space="0" w:color="auto"/>
            <w:right w:val="none" w:sz="0" w:space="0" w:color="auto"/>
          </w:divBdr>
        </w:div>
      </w:divsChild>
    </w:div>
    <w:div w:id="492529429">
      <w:marLeft w:val="0"/>
      <w:marRight w:val="0"/>
      <w:marTop w:val="0"/>
      <w:marBottom w:val="0"/>
      <w:divBdr>
        <w:top w:val="none" w:sz="0" w:space="0" w:color="auto"/>
        <w:left w:val="none" w:sz="0" w:space="0" w:color="auto"/>
        <w:bottom w:val="none" w:sz="0" w:space="0" w:color="auto"/>
        <w:right w:val="none" w:sz="0" w:space="0" w:color="auto"/>
      </w:divBdr>
      <w:divsChild>
        <w:div w:id="492529430">
          <w:marLeft w:val="0"/>
          <w:marRight w:val="0"/>
          <w:marTop w:val="0"/>
          <w:marBottom w:val="0"/>
          <w:divBdr>
            <w:top w:val="none" w:sz="0" w:space="0" w:color="auto"/>
            <w:left w:val="none" w:sz="0" w:space="0" w:color="auto"/>
            <w:bottom w:val="none" w:sz="0" w:space="0" w:color="auto"/>
            <w:right w:val="none" w:sz="0" w:space="0" w:color="auto"/>
          </w:divBdr>
          <w:divsChild>
            <w:div w:id="492529424">
              <w:marLeft w:val="0"/>
              <w:marRight w:val="0"/>
              <w:marTop w:val="0"/>
              <w:marBottom w:val="0"/>
              <w:divBdr>
                <w:top w:val="none" w:sz="0" w:space="0" w:color="auto"/>
                <w:left w:val="none" w:sz="0" w:space="0" w:color="auto"/>
                <w:bottom w:val="none" w:sz="0" w:space="0" w:color="auto"/>
                <w:right w:val="none" w:sz="0" w:space="0" w:color="auto"/>
              </w:divBdr>
            </w:div>
            <w:div w:id="492529432">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492529434">
      <w:marLeft w:val="0"/>
      <w:marRight w:val="0"/>
      <w:marTop w:val="0"/>
      <w:marBottom w:val="150"/>
      <w:divBdr>
        <w:top w:val="none" w:sz="0" w:space="0" w:color="auto"/>
        <w:left w:val="none" w:sz="0" w:space="0" w:color="auto"/>
        <w:bottom w:val="single" w:sz="6" w:space="8" w:color="DDDDDD"/>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1289</Characters>
  <Application>Microsoft Office Word</Application>
  <DocSecurity>4</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三月要报哪些税？抓紧时间照着做！（含3月征期日历）</dc:title>
  <dc:creator>杜琼辉(20030136)</dc:creator>
  <cp:lastModifiedBy>Administrator</cp:lastModifiedBy>
  <cp:revision>2</cp:revision>
  <dcterms:created xsi:type="dcterms:W3CDTF">2017-03-14T07:55:00Z</dcterms:created>
  <dcterms:modified xsi:type="dcterms:W3CDTF">2017-03-14T07:55:00Z</dcterms:modified>
</cp:coreProperties>
</file>